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077" w14:textId="5EBAEDA0" w:rsidR="00C45D90" w:rsidRDefault="007A280C" w:rsidP="00C45D90">
      <w:pPr>
        <w:pStyle w:val="Title"/>
      </w:pPr>
      <w:r>
        <w:t>Culturally Responsive Pedagogy for Advanced Learners Project</w:t>
      </w:r>
    </w:p>
    <w:p w14:paraId="7F86F950" w14:textId="33507579" w:rsidR="00C45D90" w:rsidRDefault="00C45D90" w:rsidP="00C45D90">
      <w:pPr>
        <w:pStyle w:val="Heading1"/>
      </w:pPr>
      <w:r>
        <w:t>Aim</w:t>
      </w:r>
    </w:p>
    <w:p w14:paraId="6EFAC7A4" w14:textId="62D47FC6" w:rsidR="009B48D2" w:rsidRDefault="009B48D2" w:rsidP="005B5D67">
      <w:pPr>
        <w:pStyle w:val="Heading1"/>
        <w:rPr>
          <w:rFonts w:ascii="Avenir Book" w:eastAsiaTheme="minorHAnsi" w:hAnsi="Avenir Book" w:cstheme="minorBidi"/>
          <w:b w:val="0"/>
          <w:color w:val="auto"/>
          <w:sz w:val="24"/>
          <w:szCs w:val="24"/>
        </w:rPr>
      </w:pPr>
      <w:r w:rsidRPr="009B48D2">
        <w:rPr>
          <w:rFonts w:ascii="Avenir Book" w:eastAsiaTheme="minorHAnsi" w:hAnsi="Avenir Book" w:cstheme="minorBidi"/>
          <w:b w:val="0"/>
          <w:color w:val="auto"/>
          <w:sz w:val="24"/>
          <w:szCs w:val="24"/>
        </w:rPr>
        <w:t>Bias against non-dominant groups is prevalent in American society and in American schools. This project will help you examine practices in your own school that you will want to change in order to foil the prevalent bias. Table 1 ties the outcomes of this project to Ohio’s Operating Standards for Identifying and Serving Students Who are Gifted.</w:t>
      </w:r>
      <w:bookmarkStart w:id="0" w:name="_GoBack"/>
      <w:bookmarkEnd w:id="0"/>
    </w:p>
    <w:p w14:paraId="505B909E" w14:textId="73C732B1" w:rsidR="00C7207D" w:rsidRDefault="00C45D90" w:rsidP="005B5D67">
      <w:pPr>
        <w:pStyle w:val="Heading1"/>
      </w:pPr>
      <w:r>
        <w:t>Standards and Project Outcomes</w:t>
      </w:r>
    </w:p>
    <w:tbl>
      <w:tblPr>
        <w:tblStyle w:val="TableGrid"/>
        <w:tblW w:w="9355" w:type="dxa"/>
        <w:tblLook w:val="04A0" w:firstRow="1" w:lastRow="0" w:firstColumn="1" w:lastColumn="0" w:noHBand="0" w:noVBand="1"/>
      </w:tblPr>
      <w:tblGrid>
        <w:gridCol w:w="3955"/>
        <w:gridCol w:w="2520"/>
        <w:gridCol w:w="2880"/>
      </w:tblGrid>
      <w:tr w:rsidR="003C7254" w:rsidRPr="00812721" w14:paraId="21EA5752" w14:textId="6800D851" w:rsidTr="003C7254">
        <w:tc>
          <w:tcPr>
            <w:tcW w:w="3955" w:type="dxa"/>
          </w:tcPr>
          <w:p w14:paraId="610FD8F2" w14:textId="77777777" w:rsidR="003C7254" w:rsidRPr="00812721" w:rsidRDefault="003C7254" w:rsidP="00B8343F">
            <w:pPr>
              <w:pStyle w:val="Heading2"/>
              <w:jc w:val="center"/>
            </w:pPr>
            <w:r w:rsidRPr="00812721">
              <w:t>Standard</w:t>
            </w:r>
          </w:p>
        </w:tc>
        <w:tc>
          <w:tcPr>
            <w:tcW w:w="2520" w:type="dxa"/>
          </w:tcPr>
          <w:p w14:paraId="3802B766" w14:textId="77777777" w:rsidR="003C7254" w:rsidRPr="00812721" w:rsidRDefault="003C7254" w:rsidP="00B8343F">
            <w:pPr>
              <w:pStyle w:val="Heading2"/>
              <w:jc w:val="center"/>
            </w:pPr>
            <w:r w:rsidRPr="00812721">
              <w:t>Outcome One</w:t>
            </w:r>
          </w:p>
        </w:tc>
        <w:tc>
          <w:tcPr>
            <w:tcW w:w="2880" w:type="dxa"/>
          </w:tcPr>
          <w:p w14:paraId="5B4284B7" w14:textId="77777777" w:rsidR="003C7254" w:rsidRPr="00812721" w:rsidRDefault="003C7254" w:rsidP="00B8343F">
            <w:pPr>
              <w:pStyle w:val="Heading2"/>
              <w:jc w:val="center"/>
            </w:pPr>
            <w:r w:rsidRPr="00812721">
              <w:t>Outcome Two</w:t>
            </w:r>
          </w:p>
        </w:tc>
      </w:tr>
      <w:tr w:rsidR="003C7254" w:rsidRPr="001C37FD" w14:paraId="366A7D72" w14:textId="1CA8F789" w:rsidTr="003C7254">
        <w:tc>
          <w:tcPr>
            <w:tcW w:w="3955" w:type="dxa"/>
          </w:tcPr>
          <w:p w14:paraId="26461BD4" w14:textId="0D24C3FE" w:rsidR="003C7254" w:rsidRPr="00EA7655" w:rsidRDefault="003C7254" w:rsidP="00F7147F">
            <w:pPr>
              <w:rPr>
                <w:b/>
                <w:i/>
                <w:w w:val="105"/>
                <w:sz w:val="20"/>
                <w:szCs w:val="20"/>
              </w:rPr>
            </w:pPr>
            <w:r w:rsidRPr="00EA7655">
              <w:rPr>
                <w:b/>
                <w:i/>
                <w:w w:val="105"/>
                <w:sz w:val="20"/>
                <w:szCs w:val="20"/>
              </w:rPr>
              <w:t>Assurance of inclusion in screening and assessment procedures for minority and disadvantaged students, students with disabilities, and English learners.</w:t>
            </w:r>
          </w:p>
          <w:p w14:paraId="36249B6A" w14:textId="6AA6695B" w:rsidR="003C7254" w:rsidRPr="001C37FD" w:rsidRDefault="003C7254" w:rsidP="00F7147F">
            <w:pPr>
              <w:rPr>
                <w:rStyle w:val="IntenseEmphasis"/>
                <w:sz w:val="20"/>
                <w:szCs w:val="20"/>
              </w:rPr>
            </w:pPr>
            <w:r w:rsidRPr="00EA7655">
              <w:rPr>
                <w:b/>
                <w:i/>
                <w:w w:val="105"/>
                <w:sz w:val="20"/>
                <w:szCs w:val="20"/>
              </w:rPr>
              <w:t>The ability [for general education teachers] to recognize and respond to characteristics and needs of students from traditionally underrepresented populations who are gifted and create safe and culturally responsive learning environments.</w:t>
            </w:r>
          </w:p>
        </w:tc>
        <w:tc>
          <w:tcPr>
            <w:tcW w:w="2520" w:type="dxa"/>
          </w:tcPr>
          <w:p w14:paraId="356AF4F2" w14:textId="018248E9" w:rsidR="003C7254" w:rsidRPr="00F7147F" w:rsidRDefault="003C7254" w:rsidP="00F7147F">
            <w:pPr>
              <w:rPr>
                <w:sz w:val="20"/>
                <w:szCs w:val="20"/>
              </w:rPr>
            </w:pPr>
            <w:r w:rsidRPr="00F7147F">
              <w:rPr>
                <w:sz w:val="20"/>
                <w:szCs w:val="20"/>
              </w:rPr>
              <w:t>Identify the extent of underrepresentation in gifted identification of students from non-dominant groups in your school or district.</w:t>
            </w:r>
          </w:p>
        </w:tc>
        <w:tc>
          <w:tcPr>
            <w:tcW w:w="2880" w:type="dxa"/>
          </w:tcPr>
          <w:p w14:paraId="6343ADAC" w14:textId="474E9039" w:rsidR="003C7254" w:rsidRPr="00F7147F" w:rsidRDefault="003C7254" w:rsidP="00F7147F">
            <w:pPr>
              <w:rPr>
                <w:sz w:val="20"/>
                <w:szCs w:val="20"/>
              </w:rPr>
            </w:pPr>
            <w:r w:rsidRPr="00F7147F">
              <w:rPr>
                <w:sz w:val="20"/>
                <w:szCs w:val="20"/>
              </w:rPr>
              <w:t>Based on data and needs, determine interventions to improve the identification of students from non-dominant groups as gifted.</w:t>
            </w:r>
          </w:p>
        </w:tc>
      </w:tr>
      <w:tr w:rsidR="005F63C2" w:rsidRPr="001C37FD" w14:paraId="119AA87B" w14:textId="77777777" w:rsidTr="003C7254">
        <w:tc>
          <w:tcPr>
            <w:tcW w:w="3955" w:type="dxa"/>
          </w:tcPr>
          <w:p w14:paraId="7B74503B" w14:textId="77777777" w:rsidR="005F63C2" w:rsidRPr="00941FFE" w:rsidRDefault="005F63C2" w:rsidP="005F63C2">
            <w:pPr>
              <w:rPr>
                <w:b/>
                <w:i/>
                <w:w w:val="105"/>
                <w:sz w:val="20"/>
                <w:szCs w:val="20"/>
              </w:rPr>
            </w:pPr>
            <w:r w:rsidRPr="00941FFE">
              <w:rPr>
                <w:b/>
                <w:i/>
                <w:w w:val="105"/>
                <w:sz w:val="20"/>
                <w:szCs w:val="20"/>
              </w:rPr>
              <w:t xml:space="preserve">All district students who meet the written criteria for a gifted service shall be provided an equal opportunity to receive that service. </w:t>
            </w:r>
          </w:p>
          <w:p w14:paraId="3836EDDB" w14:textId="77777777" w:rsidR="005F63C2" w:rsidRPr="00941FFE" w:rsidRDefault="005F63C2" w:rsidP="005F63C2">
            <w:pPr>
              <w:rPr>
                <w:b/>
                <w:i/>
                <w:w w:val="105"/>
                <w:sz w:val="20"/>
                <w:szCs w:val="20"/>
              </w:rPr>
            </w:pPr>
          </w:p>
          <w:p w14:paraId="7AA42D5C" w14:textId="2E4FBF4E" w:rsidR="005F63C2" w:rsidRPr="001C37FD" w:rsidRDefault="005F63C2" w:rsidP="005F63C2">
            <w:pPr>
              <w:rPr>
                <w:b/>
                <w:i/>
                <w:w w:val="105"/>
                <w:sz w:val="20"/>
                <w:szCs w:val="20"/>
              </w:rPr>
            </w:pPr>
            <w:r w:rsidRPr="00941FFE">
              <w:rPr>
                <w:b/>
                <w:i/>
                <w:w w:val="105"/>
                <w:sz w:val="20"/>
                <w:szCs w:val="20"/>
              </w:rPr>
              <w:t>The ability [for general education teachers] to recognize and respond to characteristics and needs of students from traditionally underrepresented populations who are gifted and create safe and culturally responsive learning environments.</w:t>
            </w:r>
          </w:p>
        </w:tc>
        <w:tc>
          <w:tcPr>
            <w:tcW w:w="2520" w:type="dxa"/>
          </w:tcPr>
          <w:p w14:paraId="076D1EE2" w14:textId="0087A284" w:rsidR="005F63C2" w:rsidRPr="0062669C" w:rsidRDefault="005F63C2" w:rsidP="005F63C2">
            <w:pPr>
              <w:rPr>
                <w:sz w:val="20"/>
                <w:szCs w:val="20"/>
              </w:rPr>
            </w:pPr>
            <w:r w:rsidRPr="0062669C">
              <w:rPr>
                <w:sz w:val="20"/>
                <w:szCs w:val="20"/>
              </w:rPr>
              <w:t xml:space="preserve">Assess the extent of underrepresentation of non-dominant groups in access to acceleration, advanced curriculum, and gifted services. </w:t>
            </w:r>
          </w:p>
        </w:tc>
        <w:tc>
          <w:tcPr>
            <w:tcW w:w="2880" w:type="dxa"/>
          </w:tcPr>
          <w:p w14:paraId="00466C58" w14:textId="7E51E084" w:rsidR="005F63C2" w:rsidRPr="005F63C2" w:rsidRDefault="005F63C2" w:rsidP="005F63C2">
            <w:pPr>
              <w:rPr>
                <w:sz w:val="20"/>
                <w:szCs w:val="20"/>
              </w:rPr>
            </w:pPr>
            <w:r w:rsidRPr="005F63C2">
              <w:rPr>
                <w:sz w:val="20"/>
                <w:szCs w:val="20"/>
              </w:rPr>
              <w:t xml:space="preserve">Understand provisions to improve representation of non-dominant groups in acceleration, advanced curriculum, and gifted services. </w:t>
            </w:r>
          </w:p>
        </w:tc>
      </w:tr>
    </w:tbl>
    <w:p w14:paraId="3C291AE2" w14:textId="225406F4" w:rsidR="00FA284E" w:rsidRDefault="00FA284E" w:rsidP="00FA284E">
      <w:pPr>
        <w:pStyle w:val="Heading2"/>
      </w:pPr>
      <w:r>
        <w:lastRenderedPageBreak/>
        <w:t>Background Information</w:t>
      </w:r>
    </w:p>
    <w:p w14:paraId="48DD83DE" w14:textId="56ACC042" w:rsidR="00E46483" w:rsidRPr="009D7380" w:rsidRDefault="00F40117" w:rsidP="009D7380">
      <w:pPr>
        <w:spacing w:line="242" w:lineRule="auto"/>
        <w:ind w:left="100" w:right="543" w:hanging="1"/>
        <w:rPr>
          <w:i/>
        </w:rPr>
      </w:pPr>
      <w:r>
        <w:t xml:space="preserve">Before completing the project, read the foundational concept, </w:t>
      </w:r>
      <w:r>
        <w:rPr>
          <w:i/>
        </w:rPr>
        <w:t>Culturally Responsive Pedagogy for Advanced Learners.</w:t>
      </w:r>
    </w:p>
    <w:p w14:paraId="6AA69B74" w14:textId="77777777" w:rsidR="00FA284E" w:rsidRDefault="00FA284E" w:rsidP="00F67E57">
      <w:pPr>
        <w:pStyle w:val="Heading2"/>
      </w:pPr>
      <w:r>
        <w:t>Estimated Time Completion</w:t>
      </w:r>
    </w:p>
    <w:p w14:paraId="592DB74E" w14:textId="15EC06BC" w:rsidR="00FA284E" w:rsidRDefault="009B7CD6" w:rsidP="00FA284E">
      <w:r>
        <w:t>Five</w:t>
      </w:r>
      <w:r w:rsidR="00FA284E">
        <w:t xml:space="preserve"> hours</w:t>
      </w:r>
    </w:p>
    <w:p w14:paraId="041132A9" w14:textId="46A300AA" w:rsidR="00195889" w:rsidRDefault="00195889" w:rsidP="00B96CC3">
      <w:pPr>
        <w:pStyle w:val="Heading1"/>
      </w:pPr>
      <w:r>
        <w:t>Procedures:</w:t>
      </w:r>
    </w:p>
    <w:p w14:paraId="4A40384F" w14:textId="235BEFB1" w:rsidR="008208DE" w:rsidRDefault="008208DE" w:rsidP="00B96CC3">
      <w:r w:rsidRPr="008208DE">
        <w:t>Teachers completing this project will watch two videos. The videos are interviews with: (1) Dr. Dorinda Carter Andrews, professor of education at Michigan State University and (2) Dr. Donna Ford, professor of gifted education at Vanderbilt’s Peabody College of Education. The interviews will help you engage culturally responsive pedagogy in your own school.</w:t>
      </w:r>
    </w:p>
    <w:p w14:paraId="6E62F0A3" w14:textId="01848A3E" w:rsidR="00DC623A" w:rsidRPr="00DC623A" w:rsidRDefault="00DC623A" w:rsidP="00DC623A">
      <w:r w:rsidRPr="00DC623A">
        <w:rPr>
          <w:b/>
          <w:i/>
        </w:rPr>
        <w:t xml:space="preserve">Step 1. </w:t>
      </w:r>
      <w:r w:rsidRPr="00DC623A">
        <w:t>Watch the first interview. To prepare for watching the interview, ask yourself two questions and jot down your responses:</w:t>
      </w:r>
    </w:p>
    <w:p w14:paraId="64B68570" w14:textId="77777777" w:rsidR="00DC623A" w:rsidRPr="00DC623A" w:rsidRDefault="00DC623A" w:rsidP="00DC623A">
      <w:pPr>
        <w:numPr>
          <w:ilvl w:val="0"/>
          <w:numId w:val="20"/>
        </w:numPr>
      </w:pPr>
      <w:r w:rsidRPr="00DC623A">
        <w:t>Is there an American Indian student in my school? How would I find out?</w:t>
      </w:r>
    </w:p>
    <w:p w14:paraId="6D41A7BE" w14:textId="6A23FBEC" w:rsidR="00DC623A" w:rsidRPr="00DC623A" w:rsidRDefault="00DC623A" w:rsidP="00DC623A">
      <w:pPr>
        <w:numPr>
          <w:ilvl w:val="0"/>
          <w:numId w:val="20"/>
        </w:numPr>
      </w:pPr>
      <w:r w:rsidRPr="00DC623A">
        <w:t>Have I ever read a novel by an African or African American author? Why or why not?</w:t>
      </w:r>
    </w:p>
    <w:p w14:paraId="77DFFA40" w14:textId="45307386" w:rsidR="00DC623A" w:rsidRPr="00DC623A" w:rsidRDefault="00DC623A" w:rsidP="00DC623A">
      <w:r w:rsidRPr="00DC623A">
        <w:t xml:space="preserve">Now view the video with Dr. Andrews (15 minutes). </w:t>
      </w:r>
      <w:r w:rsidRPr="00DC623A">
        <w:rPr>
          <w:u w:val="single"/>
        </w:rPr>
        <w:t>https://youtu.be/iOrgf3wTUbo</w:t>
      </w:r>
    </w:p>
    <w:p w14:paraId="4AE2D311" w14:textId="163D353F" w:rsidR="00DC623A" w:rsidRPr="00DC623A" w:rsidRDefault="00DC623A" w:rsidP="00DC623A">
      <w:r w:rsidRPr="00DC623A">
        <w:t>To debrief, ask yourself the following questions and jot down your answers:</w:t>
      </w:r>
    </w:p>
    <w:p w14:paraId="667A51B4" w14:textId="4D88DAC2" w:rsidR="00DC623A" w:rsidRPr="00DC623A" w:rsidRDefault="00DC623A" w:rsidP="00DC623A">
      <w:pPr>
        <w:numPr>
          <w:ilvl w:val="0"/>
          <w:numId w:val="20"/>
        </w:numPr>
      </w:pPr>
      <w:r w:rsidRPr="00DC623A">
        <w:t>How, most likely, would Dr. Andrews answer the first two questions? Why?</w:t>
      </w:r>
    </w:p>
    <w:p w14:paraId="16429743" w14:textId="1767E430" w:rsidR="00DC623A" w:rsidRPr="00DC623A" w:rsidRDefault="00DC623A" w:rsidP="00DC623A">
      <w:r w:rsidRPr="00DC623A">
        <w:rPr>
          <w:b/>
          <w:i/>
        </w:rPr>
        <w:t xml:space="preserve">Step 2. </w:t>
      </w:r>
      <w:r w:rsidRPr="00DC623A">
        <w:t xml:space="preserve">Watch the second interview—the one with Donna Ford (26 minutes). </w:t>
      </w:r>
      <w:r w:rsidRPr="00DC623A">
        <w:rPr>
          <w:u w:val="single"/>
        </w:rPr>
        <w:t>https://youtu.be/adMFCNdbIsA</w:t>
      </w:r>
    </w:p>
    <w:p w14:paraId="2031D0BD" w14:textId="0D4B28C6" w:rsidR="00DC623A" w:rsidRPr="00DC623A" w:rsidRDefault="00DC623A" w:rsidP="00DC623A">
      <w:r w:rsidRPr="00DC623A">
        <w:rPr>
          <w:b/>
          <w:i/>
        </w:rPr>
        <w:t xml:space="preserve">Step 3. </w:t>
      </w:r>
      <w:r w:rsidRPr="00DC623A">
        <w:t xml:space="preserve">Think of a specific subgroup in your school that is typically underrepresented in terms of access to identification, advanced curriculum, acceleration, or gifted services. With this subgroup in mind, decide which three interventions mentioned </w:t>
      </w:r>
      <w:proofErr w:type="gramStart"/>
      <w:r w:rsidRPr="00DC623A">
        <w:t>in  the</w:t>
      </w:r>
      <w:proofErr w:type="gramEnd"/>
      <w:r w:rsidRPr="00DC623A">
        <w:t xml:space="preserve"> table titled Interventions to Support Advanced Learners from Non-Dominant Groups located in the related Foundational Concept you think could help in your school or district. Think about why these interventions would help.</w:t>
      </w:r>
    </w:p>
    <w:p w14:paraId="4D55D0B7" w14:textId="39C31D63" w:rsidR="00DC623A" w:rsidRPr="00DC623A" w:rsidRDefault="00DC623A" w:rsidP="00DC623A">
      <w:r w:rsidRPr="00DC623A">
        <w:t>For each one selected, justify your choice (that is, explain the reasons for your choice and describe the situation in your school that the intervention would address). Then describe how you might intervene personally: Describe what you will do personally, the students and the other colleagues who will be involved, and what you predict will happen as a result.</w:t>
      </w:r>
    </w:p>
    <w:p w14:paraId="359BDEA3" w14:textId="1296AEF8" w:rsidR="00DC623A" w:rsidRPr="00DC623A" w:rsidRDefault="00DC623A" w:rsidP="00DC623A">
      <w:r w:rsidRPr="00DC623A">
        <w:lastRenderedPageBreak/>
        <w:t>The description of each intervention should be one page in length for a total of three pages. This is the structure for each of the three responses:</w:t>
      </w:r>
    </w:p>
    <w:p w14:paraId="37B8D1C8" w14:textId="77777777" w:rsidR="00DC623A" w:rsidRPr="00DC623A" w:rsidRDefault="00DC623A" w:rsidP="00DC623A">
      <w:pPr>
        <w:numPr>
          <w:ilvl w:val="0"/>
          <w:numId w:val="19"/>
        </w:numPr>
      </w:pPr>
      <w:r w:rsidRPr="00DC623A">
        <w:t>Intervention name (consult the Foundational Concept)</w:t>
      </w:r>
    </w:p>
    <w:p w14:paraId="4854B2D5" w14:textId="77777777" w:rsidR="00DC623A" w:rsidRPr="00DC623A" w:rsidRDefault="00DC623A" w:rsidP="00DC623A">
      <w:pPr>
        <w:numPr>
          <w:ilvl w:val="0"/>
          <w:numId w:val="19"/>
        </w:numPr>
      </w:pPr>
      <w:r w:rsidRPr="00DC623A">
        <w:t>Justification (explain reasons and describe the situation)</w:t>
      </w:r>
    </w:p>
    <w:p w14:paraId="4004C311" w14:textId="0C5777AC" w:rsidR="00DC623A" w:rsidRPr="00DC623A" w:rsidRDefault="00DC623A" w:rsidP="00DC623A">
      <w:pPr>
        <w:numPr>
          <w:ilvl w:val="0"/>
          <w:numId w:val="19"/>
        </w:numPr>
      </w:pPr>
      <w:r w:rsidRPr="00DC623A">
        <w:t>Personal action (what, who, how)</w:t>
      </w:r>
    </w:p>
    <w:p w14:paraId="19072522" w14:textId="5AE7A3D5" w:rsidR="00CF39EE" w:rsidRPr="00DC623A" w:rsidRDefault="00DC623A" w:rsidP="00B96CC3">
      <w:pPr>
        <w:rPr>
          <w:b/>
          <w:i/>
        </w:rPr>
      </w:pPr>
      <w:r w:rsidRPr="00DC623A">
        <w:rPr>
          <w:b/>
          <w:i/>
        </w:rPr>
        <w:t>Step 4. Submit your report to the educator whom your district has selected to facilitate the Gifted Education professional development course.</w:t>
      </w:r>
    </w:p>
    <w:p w14:paraId="22D14328" w14:textId="45A2CE92" w:rsidR="00195889" w:rsidRDefault="00195889" w:rsidP="00195889">
      <w:pPr>
        <w:pStyle w:val="Heading1"/>
        <w:ind w:left="100"/>
        <w:jc w:val="both"/>
      </w:pPr>
      <w:r>
        <w:t>Rubric:</w:t>
      </w:r>
    </w:p>
    <w:p w14:paraId="1779D570" w14:textId="77777777" w:rsidR="00F35B58" w:rsidRPr="00F35B58" w:rsidRDefault="00F35B58" w:rsidP="00F35B58">
      <w:r w:rsidRPr="00F35B58">
        <w:t xml:space="preserve">Participants in the Gifted Education PD might review the “distinguished” column of the rubric below as a guide to what a complete and well-executed project would look like. The person who is supervising the Gifted Education PD can use the rubric to evaluate participants’ projects. Total rubric scores of </w:t>
      </w:r>
      <w:r w:rsidRPr="00F35B58">
        <w:rPr>
          <w:b/>
        </w:rPr>
        <w:t xml:space="preserve">12 or higher </w:t>
      </w:r>
      <w:r w:rsidRPr="00F35B58">
        <w:t>are sufficient for receiving credit for the project.</w:t>
      </w:r>
    </w:p>
    <w:p w14:paraId="79904096" w14:textId="00BAC08F" w:rsidR="004F01D8" w:rsidRDefault="004F01D8" w:rsidP="00195889">
      <w:r>
        <w:br w:type="page"/>
      </w:r>
    </w:p>
    <w:tbl>
      <w:tblPr>
        <w:tblStyle w:val="TableGrid"/>
        <w:tblW w:w="0" w:type="auto"/>
        <w:tblLook w:val="04A0" w:firstRow="1" w:lastRow="0" w:firstColumn="1" w:lastColumn="0" w:noHBand="0" w:noVBand="1"/>
      </w:tblPr>
      <w:tblGrid>
        <w:gridCol w:w="1949"/>
        <w:gridCol w:w="1859"/>
        <w:gridCol w:w="1862"/>
        <w:gridCol w:w="1845"/>
        <w:gridCol w:w="1835"/>
      </w:tblGrid>
      <w:tr w:rsidR="004F01D8" w:rsidRPr="007C53AF" w14:paraId="4AF58D27" w14:textId="77777777" w:rsidTr="0052580F">
        <w:tc>
          <w:tcPr>
            <w:tcW w:w="1949" w:type="dxa"/>
            <w:shd w:val="clear" w:color="auto" w:fill="F2F2F2" w:themeFill="background1" w:themeFillShade="F2"/>
          </w:tcPr>
          <w:p w14:paraId="74EEFED3" w14:textId="77777777" w:rsidR="004F01D8" w:rsidRPr="007C53AF" w:rsidRDefault="004F01D8" w:rsidP="0052580F">
            <w:pPr>
              <w:pStyle w:val="Heading3"/>
              <w:jc w:val="center"/>
            </w:pPr>
            <w:r w:rsidRPr="007C53AF">
              <w:lastRenderedPageBreak/>
              <w:t>Criterion</w:t>
            </w:r>
          </w:p>
        </w:tc>
        <w:tc>
          <w:tcPr>
            <w:tcW w:w="1859" w:type="dxa"/>
            <w:shd w:val="clear" w:color="auto" w:fill="F2F2F2" w:themeFill="background1" w:themeFillShade="F2"/>
          </w:tcPr>
          <w:p w14:paraId="0FB2DCFE" w14:textId="77777777" w:rsidR="004F01D8" w:rsidRPr="007C53AF" w:rsidRDefault="004F01D8" w:rsidP="0052580F">
            <w:pPr>
              <w:pStyle w:val="Heading3"/>
              <w:jc w:val="center"/>
            </w:pPr>
            <w:r w:rsidRPr="007C53AF">
              <w:t>Distinguished (Four points for each criterion at this level)</w:t>
            </w:r>
          </w:p>
        </w:tc>
        <w:tc>
          <w:tcPr>
            <w:tcW w:w="1862" w:type="dxa"/>
            <w:shd w:val="clear" w:color="auto" w:fill="F2F2F2" w:themeFill="background1" w:themeFillShade="F2"/>
          </w:tcPr>
          <w:p w14:paraId="5BD4A4F5" w14:textId="77777777" w:rsidR="004F01D8" w:rsidRPr="007C53AF" w:rsidRDefault="004F01D8" w:rsidP="0052580F">
            <w:pPr>
              <w:pStyle w:val="Heading3"/>
              <w:jc w:val="center"/>
            </w:pPr>
            <w:r w:rsidRPr="007C53AF">
              <w:t>Accomplished (Three points for each criterion at this level)</w:t>
            </w:r>
          </w:p>
        </w:tc>
        <w:tc>
          <w:tcPr>
            <w:tcW w:w="1845" w:type="dxa"/>
            <w:shd w:val="clear" w:color="auto" w:fill="F2F2F2" w:themeFill="background1" w:themeFillShade="F2"/>
          </w:tcPr>
          <w:p w14:paraId="07C93D0C" w14:textId="77777777" w:rsidR="004F01D8" w:rsidRPr="007C53AF" w:rsidRDefault="004F01D8" w:rsidP="0052580F">
            <w:pPr>
              <w:pStyle w:val="Heading3"/>
              <w:jc w:val="center"/>
            </w:pPr>
            <w:r w:rsidRPr="007C53AF">
              <w:t>Competent (Two points for each criterion at this level)</w:t>
            </w:r>
          </w:p>
        </w:tc>
        <w:tc>
          <w:tcPr>
            <w:tcW w:w="1835" w:type="dxa"/>
            <w:shd w:val="clear" w:color="auto" w:fill="F2F2F2" w:themeFill="background1" w:themeFillShade="F2"/>
          </w:tcPr>
          <w:p w14:paraId="4E37BA5E" w14:textId="77777777" w:rsidR="004F01D8" w:rsidRPr="007C53AF" w:rsidRDefault="004F01D8" w:rsidP="0052580F">
            <w:pPr>
              <w:pStyle w:val="Heading3"/>
              <w:jc w:val="center"/>
            </w:pPr>
            <w:r w:rsidRPr="007C53AF">
              <w:t>Emerging (One point for each criterion at this level)</w:t>
            </w:r>
          </w:p>
        </w:tc>
      </w:tr>
      <w:tr w:rsidR="005F3B6D" w:rsidRPr="005F3B6D" w14:paraId="3EEF210B" w14:textId="77777777" w:rsidTr="0052580F">
        <w:tc>
          <w:tcPr>
            <w:tcW w:w="1949" w:type="dxa"/>
          </w:tcPr>
          <w:p w14:paraId="4934E550" w14:textId="1E04A43B" w:rsidR="005F3B6D" w:rsidRPr="005F3B6D" w:rsidRDefault="005F3B6D" w:rsidP="005F3B6D">
            <w:pPr>
              <w:rPr>
                <w:sz w:val="20"/>
                <w:szCs w:val="20"/>
              </w:rPr>
            </w:pPr>
            <w:r w:rsidRPr="005F3B6D">
              <w:rPr>
                <w:sz w:val="20"/>
                <w:szCs w:val="20"/>
              </w:rPr>
              <w:t>Reasoning and explanation used to justify selected intervention 1.</w:t>
            </w:r>
          </w:p>
        </w:tc>
        <w:tc>
          <w:tcPr>
            <w:tcW w:w="1859" w:type="dxa"/>
          </w:tcPr>
          <w:p w14:paraId="0D4E073B" w14:textId="77D9ABCF" w:rsidR="005F3B6D" w:rsidRPr="005F3B6D" w:rsidRDefault="005F3B6D" w:rsidP="005F3B6D">
            <w:pPr>
              <w:rPr>
                <w:sz w:val="20"/>
                <w:szCs w:val="20"/>
              </w:rPr>
            </w:pPr>
            <w:r w:rsidRPr="005F3B6D">
              <w:rPr>
                <w:sz w:val="20"/>
                <w:szCs w:val="20"/>
              </w:rPr>
              <w:t>The justification is complete, logical, and compelling.</w:t>
            </w:r>
          </w:p>
        </w:tc>
        <w:tc>
          <w:tcPr>
            <w:tcW w:w="1862" w:type="dxa"/>
          </w:tcPr>
          <w:p w14:paraId="05781BC2" w14:textId="67EA49E1" w:rsidR="005F3B6D" w:rsidRPr="005F3B6D" w:rsidRDefault="005F3B6D" w:rsidP="005F3B6D">
            <w:pPr>
              <w:rPr>
                <w:sz w:val="20"/>
                <w:szCs w:val="20"/>
              </w:rPr>
            </w:pPr>
            <w:r w:rsidRPr="005F3B6D">
              <w:rPr>
                <w:sz w:val="20"/>
                <w:szCs w:val="20"/>
              </w:rPr>
              <w:t>The justification is very logical, and very well explained.</w:t>
            </w:r>
          </w:p>
        </w:tc>
        <w:tc>
          <w:tcPr>
            <w:tcW w:w="1845" w:type="dxa"/>
          </w:tcPr>
          <w:p w14:paraId="6BCD933A" w14:textId="1860DD65" w:rsidR="005F3B6D" w:rsidRPr="005F3B6D" w:rsidRDefault="005F3B6D" w:rsidP="005F3B6D">
            <w:pPr>
              <w:rPr>
                <w:sz w:val="20"/>
                <w:szCs w:val="20"/>
              </w:rPr>
            </w:pPr>
            <w:r w:rsidRPr="005F3B6D">
              <w:rPr>
                <w:sz w:val="20"/>
                <w:szCs w:val="20"/>
              </w:rPr>
              <w:t>The justification is logical and explained well.</w:t>
            </w:r>
          </w:p>
        </w:tc>
        <w:tc>
          <w:tcPr>
            <w:tcW w:w="1835" w:type="dxa"/>
          </w:tcPr>
          <w:p w14:paraId="48960949" w14:textId="5288E18A" w:rsidR="005F3B6D" w:rsidRPr="005F3B6D" w:rsidRDefault="005F3B6D" w:rsidP="005F3B6D">
            <w:pPr>
              <w:rPr>
                <w:sz w:val="20"/>
                <w:szCs w:val="20"/>
              </w:rPr>
            </w:pPr>
            <w:r w:rsidRPr="005F3B6D">
              <w:rPr>
                <w:sz w:val="20"/>
                <w:szCs w:val="20"/>
              </w:rPr>
              <w:t>Reasons and explanations are present, but both could be more complete.</w:t>
            </w:r>
          </w:p>
        </w:tc>
      </w:tr>
      <w:tr w:rsidR="00AC36BA" w:rsidRPr="00335392" w14:paraId="52DFBCE2" w14:textId="77777777" w:rsidTr="0052580F">
        <w:tc>
          <w:tcPr>
            <w:tcW w:w="1949" w:type="dxa"/>
          </w:tcPr>
          <w:p w14:paraId="76D36F92" w14:textId="7444842B" w:rsidR="00AC36BA" w:rsidRPr="00335392" w:rsidRDefault="00AC36BA" w:rsidP="00AC36BA">
            <w:pPr>
              <w:rPr>
                <w:sz w:val="20"/>
                <w:szCs w:val="20"/>
              </w:rPr>
            </w:pPr>
            <w:r>
              <w:rPr>
                <w:sz w:val="20"/>
                <w:szCs w:val="20"/>
              </w:rPr>
              <w:t>The reasoning and explanation used to justify selected intervention 2.</w:t>
            </w:r>
          </w:p>
        </w:tc>
        <w:tc>
          <w:tcPr>
            <w:tcW w:w="1859" w:type="dxa"/>
          </w:tcPr>
          <w:p w14:paraId="286C264E" w14:textId="4BF84E54" w:rsidR="00AC36BA" w:rsidRPr="00485E2E" w:rsidRDefault="00AC36BA" w:rsidP="00AC36BA">
            <w:pPr>
              <w:rPr>
                <w:rFonts w:cs="Times New Roman"/>
                <w:sz w:val="20"/>
                <w:szCs w:val="20"/>
              </w:rPr>
            </w:pPr>
            <w:r w:rsidRPr="005F3B6D">
              <w:rPr>
                <w:sz w:val="20"/>
                <w:szCs w:val="20"/>
              </w:rPr>
              <w:t>The justification is complete, logical, and compelling.</w:t>
            </w:r>
          </w:p>
        </w:tc>
        <w:tc>
          <w:tcPr>
            <w:tcW w:w="1862" w:type="dxa"/>
          </w:tcPr>
          <w:p w14:paraId="58065853" w14:textId="62603FEF" w:rsidR="00AC36BA" w:rsidRPr="00A9511A" w:rsidRDefault="00AC36BA" w:rsidP="00AC36BA">
            <w:pPr>
              <w:rPr>
                <w:sz w:val="20"/>
                <w:szCs w:val="20"/>
              </w:rPr>
            </w:pPr>
            <w:r w:rsidRPr="005F3B6D">
              <w:rPr>
                <w:sz w:val="20"/>
                <w:szCs w:val="20"/>
              </w:rPr>
              <w:t>The justification is very logical, and very well explained.</w:t>
            </w:r>
          </w:p>
        </w:tc>
        <w:tc>
          <w:tcPr>
            <w:tcW w:w="1845" w:type="dxa"/>
          </w:tcPr>
          <w:p w14:paraId="067747C4" w14:textId="410A72C9" w:rsidR="00AC36BA" w:rsidRPr="00A9511A" w:rsidRDefault="00AC36BA" w:rsidP="00AC36BA">
            <w:pPr>
              <w:rPr>
                <w:sz w:val="20"/>
                <w:szCs w:val="20"/>
              </w:rPr>
            </w:pPr>
            <w:r w:rsidRPr="005F3B6D">
              <w:rPr>
                <w:sz w:val="20"/>
                <w:szCs w:val="20"/>
              </w:rPr>
              <w:t>The justification is logical and explained well.</w:t>
            </w:r>
          </w:p>
        </w:tc>
        <w:tc>
          <w:tcPr>
            <w:tcW w:w="1835" w:type="dxa"/>
          </w:tcPr>
          <w:p w14:paraId="2908D4FD" w14:textId="58B2751D" w:rsidR="00AC36BA" w:rsidRPr="00A13767" w:rsidRDefault="00AC36BA" w:rsidP="00AC36BA">
            <w:pPr>
              <w:rPr>
                <w:sz w:val="20"/>
                <w:szCs w:val="20"/>
              </w:rPr>
            </w:pPr>
            <w:r w:rsidRPr="005F3B6D">
              <w:rPr>
                <w:sz w:val="20"/>
                <w:szCs w:val="20"/>
              </w:rPr>
              <w:t>Reasons and explanations are present, but both could be more complete.</w:t>
            </w:r>
          </w:p>
        </w:tc>
      </w:tr>
      <w:tr w:rsidR="0045771D" w:rsidRPr="00335392" w14:paraId="143F1D7E" w14:textId="77777777" w:rsidTr="0052580F">
        <w:tc>
          <w:tcPr>
            <w:tcW w:w="1949" w:type="dxa"/>
          </w:tcPr>
          <w:p w14:paraId="6C5E152C" w14:textId="20DC39A0" w:rsidR="0045771D" w:rsidRPr="00335392" w:rsidRDefault="0045771D" w:rsidP="0045771D">
            <w:pPr>
              <w:rPr>
                <w:sz w:val="20"/>
                <w:szCs w:val="20"/>
              </w:rPr>
            </w:pPr>
            <w:r>
              <w:rPr>
                <w:sz w:val="20"/>
                <w:szCs w:val="20"/>
              </w:rPr>
              <w:t>The reasoning and explanation used to justify selected intervention 3.</w:t>
            </w:r>
          </w:p>
        </w:tc>
        <w:tc>
          <w:tcPr>
            <w:tcW w:w="1859" w:type="dxa"/>
          </w:tcPr>
          <w:p w14:paraId="705F287A" w14:textId="5B515D25" w:rsidR="0045771D" w:rsidRPr="00335392" w:rsidRDefault="0045771D" w:rsidP="0045771D">
            <w:pPr>
              <w:rPr>
                <w:sz w:val="20"/>
                <w:szCs w:val="20"/>
              </w:rPr>
            </w:pPr>
            <w:r w:rsidRPr="005F3B6D">
              <w:rPr>
                <w:sz w:val="20"/>
                <w:szCs w:val="20"/>
              </w:rPr>
              <w:t>The justification is complete, logical, and compelling.</w:t>
            </w:r>
          </w:p>
        </w:tc>
        <w:tc>
          <w:tcPr>
            <w:tcW w:w="1862" w:type="dxa"/>
          </w:tcPr>
          <w:p w14:paraId="0DA0B4F4" w14:textId="6D090E54" w:rsidR="0045771D" w:rsidRPr="00335392" w:rsidRDefault="0045771D" w:rsidP="0045771D">
            <w:pPr>
              <w:rPr>
                <w:sz w:val="20"/>
                <w:szCs w:val="20"/>
              </w:rPr>
            </w:pPr>
            <w:r w:rsidRPr="005F3B6D">
              <w:rPr>
                <w:sz w:val="20"/>
                <w:szCs w:val="20"/>
              </w:rPr>
              <w:t>The justification is very logical, and very well explained.</w:t>
            </w:r>
          </w:p>
        </w:tc>
        <w:tc>
          <w:tcPr>
            <w:tcW w:w="1845" w:type="dxa"/>
          </w:tcPr>
          <w:p w14:paraId="694AA604" w14:textId="19B5D3BC" w:rsidR="0045771D" w:rsidRPr="0017737F" w:rsidRDefault="0045771D" w:rsidP="0045771D">
            <w:pPr>
              <w:rPr>
                <w:sz w:val="20"/>
                <w:szCs w:val="20"/>
              </w:rPr>
            </w:pPr>
            <w:r w:rsidRPr="005F3B6D">
              <w:rPr>
                <w:sz w:val="20"/>
                <w:szCs w:val="20"/>
              </w:rPr>
              <w:t>The justification is logical and explained well.</w:t>
            </w:r>
          </w:p>
        </w:tc>
        <w:tc>
          <w:tcPr>
            <w:tcW w:w="1835" w:type="dxa"/>
          </w:tcPr>
          <w:p w14:paraId="6FCFDC30" w14:textId="1C7B629C" w:rsidR="0045771D" w:rsidRPr="0017737F" w:rsidRDefault="0045771D" w:rsidP="0045771D">
            <w:pPr>
              <w:rPr>
                <w:rFonts w:cs="Times New Roman"/>
                <w:sz w:val="20"/>
                <w:szCs w:val="20"/>
              </w:rPr>
            </w:pPr>
            <w:r w:rsidRPr="005F3B6D">
              <w:rPr>
                <w:sz w:val="20"/>
                <w:szCs w:val="20"/>
              </w:rPr>
              <w:t>Reasons and explanations are present, but both could be more complete.</w:t>
            </w:r>
          </w:p>
        </w:tc>
      </w:tr>
      <w:tr w:rsidR="00DE04C5" w:rsidRPr="00DE04C5" w14:paraId="0031ADB9" w14:textId="77777777" w:rsidTr="0052580F">
        <w:tc>
          <w:tcPr>
            <w:tcW w:w="1949" w:type="dxa"/>
          </w:tcPr>
          <w:p w14:paraId="7C2E748C" w14:textId="2A388DE9" w:rsidR="00DE04C5" w:rsidRPr="00DE04C5" w:rsidRDefault="00DE04C5" w:rsidP="00DE04C5">
            <w:pPr>
              <w:rPr>
                <w:sz w:val="20"/>
                <w:szCs w:val="20"/>
              </w:rPr>
            </w:pPr>
            <w:r w:rsidRPr="00DE04C5">
              <w:rPr>
                <w:sz w:val="20"/>
                <w:szCs w:val="20"/>
              </w:rPr>
              <w:t>Specification and defense of personal action plan for intervention 1.</w:t>
            </w:r>
          </w:p>
        </w:tc>
        <w:tc>
          <w:tcPr>
            <w:tcW w:w="1859" w:type="dxa"/>
          </w:tcPr>
          <w:p w14:paraId="1D3A0703" w14:textId="7D7CBC46" w:rsidR="00DE04C5" w:rsidRPr="00DE04C5" w:rsidRDefault="00DE04C5" w:rsidP="00DE04C5">
            <w:pPr>
              <w:rPr>
                <w:rFonts w:cs="Times New Roman"/>
                <w:sz w:val="20"/>
                <w:szCs w:val="20"/>
              </w:rPr>
            </w:pPr>
            <w:r w:rsidRPr="00DE04C5">
              <w:rPr>
                <w:sz w:val="20"/>
                <w:szCs w:val="20"/>
              </w:rPr>
              <w:t>The personal action plan is complete, coherent, and presented compellingly.</w:t>
            </w:r>
          </w:p>
        </w:tc>
        <w:tc>
          <w:tcPr>
            <w:tcW w:w="1862" w:type="dxa"/>
          </w:tcPr>
          <w:p w14:paraId="562BC426" w14:textId="351A8B44" w:rsidR="00DE04C5" w:rsidRPr="00DE04C5" w:rsidRDefault="00DE04C5" w:rsidP="00DE04C5">
            <w:pPr>
              <w:rPr>
                <w:rFonts w:cs="Times New Roman"/>
                <w:sz w:val="20"/>
                <w:szCs w:val="20"/>
              </w:rPr>
            </w:pPr>
            <w:r w:rsidRPr="00DE04C5">
              <w:rPr>
                <w:sz w:val="20"/>
                <w:szCs w:val="20"/>
              </w:rPr>
              <w:t>The personal action plan is complete and explained in detail.</w:t>
            </w:r>
          </w:p>
        </w:tc>
        <w:tc>
          <w:tcPr>
            <w:tcW w:w="1845" w:type="dxa"/>
          </w:tcPr>
          <w:p w14:paraId="6810B946" w14:textId="6FB6DB19" w:rsidR="00DE04C5" w:rsidRPr="00DE04C5" w:rsidRDefault="00DE04C5" w:rsidP="00DE04C5">
            <w:pPr>
              <w:rPr>
                <w:rFonts w:cs="Times New Roman"/>
                <w:sz w:val="20"/>
                <w:szCs w:val="20"/>
              </w:rPr>
            </w:pPr>
            <w:r w:rsidRPr="00DE04C5">
              <w:rPr>
                <w:sz w:val="20"/>
                <w:szCs w:val="20"/>
              </w:rPr>
              <w:t>The personal action plan is explained.</w:t>
            </w:r>
          </w:p>
        </w:tc>
        <w:tc>
          <w:tcPr>
            <w:tcW w:w="1835" w:type="dxa"/>
          </w:tcPr>
          <w:p w14:paraId="64A0999B" w14:textId="4838683B" w:rsidR="00DE04C5" w:rsidRPr="00DE04C5" w:rsidRDefault="00DE04C5" w:rsidP="00DE04C5">
            <w:pPr>
              <w:rPr>
                <w:rFonts w:cs="Times New Roman"/>
                <w:sz w:val="20"/>
                <w:szCs w:val="20"/>
              </w:rPr>
            </w:pPr>
            <w:r w:rsidRPr="00DE04C5">
              <w:rPr>
                <w:sz w:val="20"/>
                <w:szCs w:val="20"/>
              </w:rPr>
              <w:t>The personal action plan is not yet complete or the explanation of parts is rudimentary.</w:t>
            </w:r>
          </w:p>
        </w:tc>
      </w:tr>
      <w:tr w:rsidR="00A83D1F" w:rsidRPr="00DE04C5" w14:paraId="6CCD43C3" w14:textId="77777777" w:rsidTr="0052580F">
        <w:tc>
          <w:tcPr>
            <w:tcW w:w="1949" w:type="dxa"/>
          </w:tcPr>
          <w:p w14:paraId="352577F4" w14:textId="3A916363" w:rsidR="00A83D1F" w:rsidRPr="00DE04C5" w:rsidRDefault="00A83D1F" w:rsidP="00A83D1F">
            <w:pPr>
              <w:rPr>
                <w:sz w:val="20"/>
                <w:szCs w:val="20"/>
              </w:rPr>
            </w:pPr>
            <w:r w:rsidRPr="00DE04C5">
              <w:rPr>
                <w:sz w:val="20"/>
                <w:szCs w:val="20"/>
              </w:rPr>
              <w:t xml:space="preserve">Specification and defense of personal action plan for intervention </w:t>
            </w:r>
            <w:r>
              <w:rPr>
                <w:sz w:val="20"/>
                <w:szCs w:val="20"/>
              </w:rPr>
              <w:t>2</w:t>
            </w:r>
            <w:r w:rsidRPr="00DE04C5">
              <w:rPr>
                <w:sz w:val="20"/>
                <w:szCs w:val="20"/>
              </w:rPr>
              <w:t>.</w:t>
            </w:r>
          </w:p>
        </w:tc>
        <w:tc>
          <w:tcPr>
            <w:tcW w:w="1859" w:type="dxa"/>
          </w:tcPr>
          <w:p w14:paraId="7977ABC5" w14:textId="50C47B91" w:rsidR="00A83D1F" w:rsidRPr="00DE04C5" w:rsidRDefault="00A83D1F" w:rsidP="00A83D1F">
            <w:pPr>
              <w:rPr>
                <w:sz w:val="20"/>
                <w:szCs w:val="20"/>
              </w:rPr>
            </w:pPr>
            <w:r w:rsidRPr="00DE04C5">
              <w:rPr>
                <w:sz w:val="20"/>
                <w:szCs w:val="20"/>
              </w:rPr>
              <w:t>The personal action plan is complete, coherent, and presented compellingly.</w:t>
            </w:r>
          </w:p>
        </w:tc>
        <w:tc>
          <w:tcPr>
            <w:tcW w:w="1862" w:type="dxa"/>
          </w:tcPr>
          <w:p w14:paraId="7F05A67D" w14:textId="73531559" w:rsidR="00A83D1F" w:rsidRPr="00DE04C5" w:rsidRDefault="00A83D1F" w:rsidP="00A83D1F">
            <w:pPr>
              <w:rPr>
                <w:sz w:val="20"/>
                <w:szCs w:val="20"/>
              </w:rPr>
            </w:pPr>
            <w:r w:rsidRPr="00DE04C5">
              <w:rPr>
                <w:sz w:val="20"/>
                <w:szCs w:val="20"/>
              </w:rPr>
              <w:t>The personal action plan is complete and explained in detail.</w:t>
            </w:r>
          </w:p>
        </w:tc>
        <w:tc>
          <w:tcPr>
            <w:tcW w:w="1845" w:type="dxa"/>
          </w:tcPr>
          <w:p w14:paraId="16D1086B" w14:textId="00A1333E" w:rsidR="00A83D1F" w:rsidRPr="00DE04C5" w:rsidRDefault="00A83D1F" w:rsidP="00A83D1F">
            <w:pPr>
              <w:rPr>
                <w:sz w:val="20"/>
                <w:szCs w:val="20"/>
              </w:rPr>
            </w:pPr>
            <w:r w:rsidRPr="00DE04C5">
              <w:rPr>
                <w:sz w:val="20"/>
                <w:szCs w:val="20"/>
              </w:rPr>
              <w:t>The personal action plan is explained.</w:t>
            </w:r>
          </w:p>
        </w:tc>
        <w:tc>
          <w:tcPr>
            <w:tcW w:w="1835" w:type="dxa"/>
          </w:tcPr>
          <w:p w14:paraId="6C3C9FD9" w14:textId="16BEF6DE" w:rsidR="00A83D1F" w:rsidRPr="00DE04C5" w:rsidRDefault="00A83D1F" w:rsidP="00A83D1F">
            <w:pPr>
              <w:rPr>
                <w:sz w:val="20"/>
                <w:szCs w:val="20"/>
              </w:rPr>
            </w:pPr>
            <w:r w:rsidRPr="00DE04C5">
              <w:rPr>
                <w:sz w:val="20"/>
                <w:szCs w:val="20"/>
              </w:rPr>
              <w:t>The personal action plan is not yet complete or the explanation of parts is rudimentary.</w:t>
            </w:r>
          </w:p>
        </w:tc>
      </w:tr>
      <w:tr w:rsidR="00A83D1F" w:rsidRPr="00DE04C5" w14:paraId="122D7B0F" w14:textId="77777777" w:rsidTr="0052580F">
        <w:tc>
          <w:tcPr>
            <w:tcW w:w="1949" w:type="dxa"/>
          </w:tcPr>
          <w:p w14:paraId="5EE1F580" w14:textId="3E8928FC" w:rsidR="00A83D1F" w:rsidRPr="00DE04C5" w:rsidRDefault="00A83D1F" w:rsidP="00A83D1F">
            <w:pPr>
              <w:rPr>
                <w:sz w:val="20"/>
                <w:szCs w:val="20"/>
              </w:rPr>
            </w:pPr>
            <w:r w:rsidRPr="00DE04C5">
              <w:rPr>
                <w:sz w:val="20"/>
                <w:szCs w:val="20"/>
              </w:rPr>
              <w:t xml:space="preserve">Specification and defense of personal action plan for intervention </w:t>
            </w:r>
            <w:r>
              <w:rPr>
                <w:sz w:val="20"/>
                <w:szCs w:val="20"/>
              </w:rPr>
              <w:t>3</w:t>
            </w:r>
            <w:r w:rsidRPr="00DE04C5">
              <w:rPr>
                <w:sz w:val="20"/>
                <w:szCs w:val="20"/>
              </w:rPr>
              <w:t>.</w:t>
            </w:r>
          </w:p>
        </w:tc>
        <w:tc>
          <w:tcPr>
            <w:tcW w:w="1859" w:type="dxa"/>
          </w:tcPr>
          <w:p w14:paraId="1D941FBF" w14:textId="6DC7EB6B" w:rsidR="00A83D1F" w:rsidRPr="00DE04C5" w:rsidRDefault="00A83D1F" w:rsidP="00A83D1F">
            <w:pPr>
              <w:rPr>
                <w:sz w:val="20"/>
                <w:szCs w:val="20"/>
              </w:rPr>
            </w:pPr>
            <w:r w:rsidRPr="00DE04C5">
              <w:rPr>
                <w:sz w:val="20"/>
                <w:szCs w:val="20"/>
              </w:rPr>
              <w:t>The personal action plan is complete, coherent, and presented compellingly.</w:t>
            </w:r>
          </w:p>
        </w:tc>
        <w:tc>
          <w:tcPr>
            <w:tcW w:w="1862" w:type="dxa"/>
          </w:tcPr>
          <w:p w14:paraId="5692999C" w14:textId="3CDE95E1" w:rsidR="00A83D1F" w:rsidRPr="00DE04C5" w:rsidRDefault="00A83D1F" w:rsidP="00A83D1F">
            <w:pPr>
              <w:rPr>
                <w:sz w:val="20"/>
                <w:szCs w:val="20"/>
              </w:rPr>
            </w:pPr>
            <w:r w:rsidRPr="00DE04C5">
              <w:rPr>
                <w:sz w:val="20"/>
                <w:szCs w:val="20"/>
              </w:rPr>
              <w:t>The personal action plan is complete and explained in detail.</w:t>
            </w:r>
          </w:p>
        </w:tc>
        <w:tc>
          <w:tcPr>
            <w:tcW w:w="1845" w:type="dxa"/>
          </w:tcPr>
          <w:p w14:paraId="511BCA7D" w14:textId="57001D03" w:rsidR="00A83D1F" w:rsidRPr="00DE04C5" w:rsidRDefault="00A83D1F" w:rsidP="00A83D1F">
            <w:pPr>
              <w:rPr>
                <w:sz w:val="20"/>
                <w:szCs w:val="20"/>
              </w:rPr>
            </w:pPr>
            <w:r w:rsidRPr="00DE04C5">
              <w:rPr>
                <w:sz w:val="20"/>
                <w:szCs w:val="20"/>
              </w:rPr>
              <w:t>The personal action plan is explained.</w:t>
            </w:r>
          </w:p>
        </w:tc>
        <w:tc>
          <w:tcPr>
            <w:tcW w:w="1835" w:type="dxa"/>
          </w:tcPr>
          <w:p w14:paraId="32340EED" w14:textId="4AD31A81" w:rsidR="00A83D1F" w:rsidRPr="00DE04C5" w:rsidRDefault="00A83D1F" w:rsidP="00A83D1F">
            <w:pPr>
              <w:rPr>
                <w:sz w:val="20"/>
                <w:szCs w:val="20"/>
              </w:rPr>
            </w:pPr>
            <w:r w:rsidRPr="00DE04C5">
              <w:rPr>
                <w:sz w:val="20"/>
                <w:szCs w:val="20"/>
              </w:rPr>
              <w:t>The personal action plan is not yet complete or the explanation of parts is rudimentary.</w:t>
            </w:r>
          </w:p>
        </w:tc>
      </w:tr>
    </w:tbl>
    <w:p w14:paraId="7EE845F6" w14:textId="77777777" w:rsidR="00BC0A86" w:rsidRPr="005659F4" w:rsidRDefault="00BC0A86" w:rsidP="00EE04C0">
      <w:pPr>
        <w:pStyle w:val="BulletLists"/>
        <w:numPr>
          <w:ilvl w:val="0"/>
          <w:numId w:val="0"/>
        </w:numPr>
      </w:pPr>
    </w:p>
    <w:sectPr w:rsidR="00BC0A86" w:rsidRPr="005659F4"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0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1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A2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AA9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A2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E9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8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EC23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EA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2D7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170B"/>
    <w:multiLevelType w:val="hybridMultilevel"/>
    <w:tmpl w:val="8D4E86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F1F3F"/>
    <w:multiLevelType w:val="hybridMultilevel"/>
    <w:tmpl w:val="EE40A6CA"/>
    <w:lvl w:ilvl="0" w:tplc="1CCE726C">
      <w:numFmt w:val="bullet"/>
      <w:lvlText w:val=""/>
      <w:lvlJc w:val="left"/>
      <w:pPr>
        <w:ind w:left="820" w:hanging="360"/>
      </w:pPr>
      <w:rPr>
        <w:rFonts w:ascii="Symbol" w:eastAsia="Symbol" w:hAnsi="Symbol" w:cs="Symbol" w:hint="default"/>
        <w:w w:val="100"/>
        <w:sz w:val="24"/>
        <w:szCs w:val="24"/>
      </w:rPr>
    </w:lvl>
    <w:lvl w:ilvl="1" w:tplc="2FF67B9C">
      <w:numFmt w:val="bullet"/>
      <w:lvlText w:val="•"/>
      <w:lvlJc w:val="left"/>
      <w:pPr>
        <w:ind w:left="1680" w:hanging="360"/>
      </w:pPr>
      <w:rPr>
        <w:rFonts w:hint="default"/>
      </w:rPr>
    </w:lvl>
    <w:lvl w:ilvl="2" w:tplc="8604D570">
      <w:numFmt w:val="bullet"/>
      <w:lvlText w:val="•"/>
      <w:lvlJc w:val="left"/>
      <w:pPr>
        <w:ind w:left="2540" w:hanging="360"/>
      </w:pPr>
      <w:rPr>
        <w:rFonts w:hint="default"/>
      </w:rPr>
    </w:lvl>
    <w:lvl w:ilvl="3" w:tplc="E80E0684">
      <w:numFmt w:val="bullet"/>
      <w:lvlText w:val="•"/>
      <w:lvlJc w:val="left"/>
      <w:pPr>
        <w:ind w:left="3400" w:hanging="360"/>
      </w:pPr>
      <w:rPr>
        <w:rFonts w:hint="default"/>
      </w:rPr>
    </w:lvl>
    <w:lvl w:ilvl="4" w:tplc="2FC03304">
      <w:numFmt w:val="bullet"/>
      <w:lvlText w:val="•"/>
      <w:lvlJc w:val="left"/>
      <w:pPr>
        <w:ind w:left="4260" w:hanging="360"/>
      </w:pPr>
      <w:rPr>
        <w:rFonts w:hint="default"/>
      </w:rPr>
    </w:lvl>
    <w:lvl w:ilvl="5" w:tplc="9BDEFA8C">
      <w:numFmt w:val="bullet"/>
      <w:lvlText w:val="•"/>
      <w:lvlJc w:val="left"/>
      <w:pPr>
        <w:ind w:left="5120" w:hanging="360"/>
      </w:pPr>
      <w:rPr>
        <w:rFonts w:hint="default"/>
      </w:rPr>
    </w:lvl>
    <w:lvl w:ilvl="6" w:tplc="6B447B7A">
      <w:numFmt w:val="bullet"/>
      <w:lvlText w:val="•"/>
      <w:lvlJc w:val="left"/>
      <w:pPr>
        <w:ind w:left="5980" w:hanging="360"/>
      </w:pPr>
      <w:rPr>
        <w:rFonts w:hint="default"/>
      </w:rPr>
    </w:lvl>
    <w:lvl w:ilvl="7" w:tplc="8EA85FC0">
      <w:numFmt w:val="bullet"/>
      <w:lvlText w:val="•"/>
      <w:lvlJc w:val="left"/>
      <w:pPr>
        <w:ind w:left="6840" w:hanging="360"/>
      </w:pPr>
      <w:rPr>
        <w:rFonts w:hint="default"/>
      </w:rPr>
    </w:lvl>
    <w:lvl w:ilvl="8" w:tplc="B3EA8564">
      <w:numFmt w:val="bullet"/>
      <w:lvlText w:val="•"/>
      <w:lvlJc w:val="left"/>
      <w:pPr>
        <w:ind w:left="7700" w:hanging="360"/>
      </w:pPr>
      <w:rPr>
        <w:rFonts w:hint="default"/>
      </w:rPr>
    </w:lvl>
  </w:abstractNum>
  <w:abstractNum w:abstractNumId="13" w15:restartNumberingAfterBreak="0">
    <w:nsid w:val="120915E0"/>
    <w:multiLevelType w:val="hybridMultilevel"/>
    <w:tmpl w:val="E0E08A1E"/>
    <w:lvl w:ilvl="0" w:tplc="1DCC6C56">
      <w:start w:val="1"/>
      <w:numFmt w:val="decimal"/>
      <w:lvlText w:val="%1."/>
      <w:lvlJc w:val="left"/>
      <w:pPr>
        <w:ind w:left="525" w:hanging="426"/>
      </w:pPr>
      <w:rPr>
        <w:rFonts w:ascii="Times New Roman" w:eastAsia="Times New Roman" w:hAnsi="Times New Roman" w:cs="Times New Roman" w:hint="default"/>
        <w:spacing w:val="-1"/>
        <w:w w:val="100"/>
        <w:sz w:val="24"/>
        <w:szCs w:val="24"/>
      </w:rPr>
    </w:lvl>
    <w:lvl w:ilvl="1" w:tplc="B7C48C6E">
      <w:numFmt w:val="bullet"/>
      <w:lvlText w:val="•"/>
      <w:lvlJc w:val="left"/>
      <w:pPr>
        <w:ind w:left="1426" w:hanging="426"/>
      </w:pPr>
      <w:rPr>
        <w:rFonts w:hint="default"/>
      </w:rPr>
    </w:lvl>
    <w:lvl w:ilvl="2" w:tplc="C62E7148">
      <w:numFmt w:val="bullet"/>
      <w:lvlText w:val="•"/>
      <w:lvlJc w:val="left"/>
      <w:pPr>
        <w:ind w:left="2332" w:hanging="426"/>
      </w:pPr>
      <w:rPr>
        <w:rFonts w:hint="default"/>
      </w:rPr>
    </w:lvl>
    <w:lvl w:ilvl="3" w:tplc="686C7480">
      <w:numFmt w:val="bullet"/>
      <w:lvlText w:val="•"/>
      <w:lvlJc w:val="left"/>
      <w:pPr>
        <w:ind w:left="3238" w:hanging="426"/>
      </w:pPr>
      <w:rPr>
        <w:rFonts w:hint="default"/>
      </w:rPr>
    </w:lvl>
    <w:lvl w:ilvl="4" w:tplc="CB8AFABC">
      <w:numFmt w:val="bullet"/>
      <w:lvlText w:val="•"/>
      <w:lvlJc w:val="left"/>
      <w:pPr>
        <w:ind w:left="4144" w:hanging="426"/>
      </w:pPr>
      <w:rPr>
        <w:rFonts w:hint="default"/>
      </w:rPr>
    </w:lvl>
    <w:lvl w:ilvl="5" w:tplc="AC9210B8">
      <w:numFmt w:val="bullet"/>
      <w:lvlText w:val="•"/>
      <w:lvlJc w:val="left"/>
      <w:pPr>
        <w:ind w:left="5050" w:hanging="426"/>
      </w:pPr>
      <w:rPr>
        <w:rFonts w:hint="default"/>
      </w:rPr>
    </w:lvl>
    <w:lvl w:ilvl="6" w:tplc="C1767914">
      <w:numFmt w:val="bullet"/>
      <w:lvlText w:val="•"/>
      <w:lvlJc w:val="left"/>
      <w:pPr>
        <w:ind w:left="5956" w:hanging="426"/>
      </w:pPr>
      <w:rPr>
        <w:rFonts w:hint="default"/>
      </w:rPr>
    </w:lvl>
    <w:lvl w:ilvl="7" w:tplc="7AAA2AAA">
      <w:numFmt w:val="bullet"/>
      <w:lvlText w:val="•"/>
      <w:lvlJc w:val="left"/>
      <w:pPr>
        <w:ind w:left="6862" w:hanging="426"/>
      </w:pPr>
      <w:rPr>
        <w:rFonts w:hint="default"/>
      </w:rPr>
    </w:lvl>
    <w:lvl w:ilvl="8" w:tplc="2E780488">
      <w:numFmt w:val="bullet"/>
      <w:lvlText w:val="•"/>
      <w:lvlJc w:val="left"/>
      <w:pPr>
        <w:ind w:left="7768" w:hanging="426"/>
      </w:pPr>
      <w:rPr>
        <w:rFonts w:hint="default"/>
      </w:rPr>
    </w:lvl>
  </w:abstractNum>
  <w:abstractNum w:abstractNumId="14" w15:restartNumberingAfterBreak="0">
    <w:nsid w:val="18885DA1"/>
    <w:multiLevelType w:val="hybridMultilevel"/>
    <w:tmpl w:val="448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07812"/>
    <w:multiLevelType w:val="multilevel"/>
    <w:tmpl w:val="3BA0E68E"/>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00" w:hanging="360"/>
      </w:pPr>
      <w:rPr>
        <w:rFonts w:ascii="Wingdings" w:hAnsi="Wingdings" w:hint="default"/>
      </w:rPr>
    </w:lvl>
    <w:lvl w:ilvl="3">
      <w:start w:val="1"/>
      <w:numFmt w:val="bullet"/>
      <w:lvlText w:val="o"/>
      <w:lvlJc w:val="left"/>
      <w:pPr>
        <w:ind w:left="1620" w:hanging="360"/>
      </w:pPr>
      <w:rPr>
        <w:rFonts w:ascii="Courier New" w:hAnsi="Courier New" w:cs="Courier New"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6DD015DA"/>
    <w:multiLevelType w:val="multilevel"/>
    <w:tmpl w:val="C1F4618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701055F6"/>
    <w:multiLevelType w:val="hybridMultilevel"/>
    <w:tmpl w:val="10865C3E"/>
    <w:lvl w:ilvl="0" w:tplc="39AE1C36">
      <w:numFmt w:val="bullet"/>
      <w:lvlText w:val=""/>
      <w:lvlJc w:val="left"/>
      <w:pPr>
        <w:ind w:left="840" w:hanging="360"/>
      </w:pPr>
      <w:rPr>
        <w:rFonts w:ascii="Symbol" w:eastAsia="Symbol" w:hAnsi="Symbol" w:cs="Symbol" w:hint="default"/>
        <w:w w:val="100"/>
        <w:sz w:val="24"/>
        <w:szCs w:val="24"/>
      </w:rPr>
    </w:lvl>
    <w:lvl w:ilvl="1" w:tplc="88F0F60C">
      <w:numFmt w:val="bullet"/>
      <w:lvlText w:val="•"/>
      <w:lvlJc w:val="left"/>
      <w:pPr>
        <w:ind w:left="1716" w:hanging="360"/>
      </w:pPr>
      <w:rPr>
        <w:rFonts w:hint="default"/>
      </w:rPr>
    </w:lvl>
    <w:lvl w:ilvl="2" w:tplc="E2AA31F2">
      <w:numFmt w:val="bullet"/>
      <w:lvlText w:val="•"/>
      <w:lvlJc w:val="left"/>
      <w:pPr>
        <w:ind w:left="2592" w:hanging="360"/>
      </w:pPr>
      <w:rPr>
        <w:rFonts w:hint="default"/>
      </w:rPr>
    </w:lvl>
    <w:lvl w:ilvl="3" w:tplc="9A262B06">
      <w:numFmt w:val="bullet"/>
      <w:lvlText w:val="•"/>
      <w:lvlJc w:val="left"/>
      <w:pPr>
        <w:ind w:left="3468" w:hanging="360"/>
      </w:pPr>
      <w:rPr>
        <w:rFonts w:hint="default"/>
      </w:rPr>
    </w:lvl>
    <w:lvl w:ilvl="4" w:tplc="F2A8ABB2">
      <w:numFmt w:val="bullet"/>
      <w:lvlText w:val="•"/>
      <w:lvlJc w:val="left"/>
      <w:pPr>
        <w:ind w:left="4344" w:hanging="360"/>
      </w:pPr>
      <w:rPr>
        <w:rFonts w:hint="default"/>
      </w:rPr>
    </w:lvl>
    <w:lvl w:ilvl="5" w:tplc="7EDE8BB0">
      <w:numFmt w:val="bullet"/>
      <w:lvlText w:val="•"/>
      <w:lvlJc w:val="left"/>
      <w:pPr>
        <w:ind w:left="5220" w:hanging="360"/>
      </w:pPr>
      <w:rPr>
        <w:rFonts w:hint="default"/>
      </w:rPr>
    </w:lvl>
    <w:lvl w:ilvl="6" w:tplc="66AA166E">
      <w:numFmt w:val="bullet"/>
      <w:lvlText w:val="•"/>
      <w:lvlJc w:val="left"/>
      <w:pPr>
        <w:ind w:left="6096" w:hanging="360"/>
      </w:pPr>
      <w:rPr>
        <w:rFonts w:hint="default"/>
      </w:rPr>
    </w:lvl>
    <w:lvl w:ilvl="7" w:tplc="E38E78AE">
      <w:numFmt w:val="bullet"/>
      <w:lvlText w:val="•"/>
      <w:lvlJc w:val="left"/>
      <w:pPr>
        <w:ind w:left="6972" w:hanging="360"/>
      </w:pPr>
      <w:rPr>
        <w:rFonts w:hint="default"/>
      </w:rPr>
    </w:lvl>
    <w:lvl w:ilvl="8" w:tplc="0FFEDF88">
      <w:numFmt w:val="bullet"/>
      <w:lvlText w:val="•"/>
      <w:lvlJc w:val="left"/>
      <w:pPr>
        <w:ind w:left="7848" w:hanging="360"/>
      </w:pPr>
      <w:rPr>
        <w:rFonts w:hint="default"/>
      </w:rPr>
    </w:lvl>
  </w:abstractNum>
  <w:abstractNum w:abstractNumId="19" w15:restartNumberingAfterBreak="0">
    <w:nsid w:val="780B7FA1"/>
    <w:multiLevelType w:val="multilevel"/>
    <w:tmpl w:val="A530BE5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5"/>
  </w:num>
  <w:num w:numId="2">
    <w:abstractNumId w:val="11"/>
  </w:num>
  <w:num w:numId="3">
    <w:abstractNumId w:val="10"/>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9"/>
  </w:num>
  <w:num w:numId="15">
    <w:abstractNumId w:val="16"/>
  </w:num>
  <w:num w:numId="16">
    <w:abstractNumId w:val="17"/>
  </w:num>
  <w:num w:numId="17">
    <w:abstractNumId w:val="18"/>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458AA"/>
    <w:rsid w:val="00095257"/>
    <w:rsid w:val="000C3AB6"/>
    <w:rsid w:val="000D3411"/>
    <w:rsid w:val="0011254B"/>
    <w:rsid w:val="001304D1"/>
    <w:rsid w:val="00150588"/>
    <w:rsid w:val="00162D4C"/>
    <w:rsid w:val="0017615C"/>
    <w:rsid w:val="0017737F"/>
    <w:rsid w:val="00195889"/>
    <w:rsid w:val="001C37FD"/>
    <w:rsid w:val="001D7170"/>
    <w:rsid w:val="001E3EB8"/>
    <w:rsid w:val="001E5BDB"/>
    <w:rsid w:val="001E7425"/>
    <w:rsid w:val="00257910"/>
    <w:rsid w:val="00272BE6"/>
    <w:rsid w:val="002808C4"/>
    <w:rsid w:val="003322FE"/>
    <w:rsid w:val="00335392"/>
    <w:rsid w:val="003A342E"/>
    <w:rsid w:val="003B198F"/>
    <w:rsid w:val="003C7254"/>
    <w:rsid w:val="003D7F48"/>
    <w:rsid w:val="003F0820"/>
    <w:rsid w:val="00401203"/>
    <w:rsid w:val="0045771D"/>
    <w:rsid w:val="00462118"/>
    <w:rsid w:val="004668D7"/>
    <w:rsid w:val="00485E2E"/>
    <w:rsid w:val="00490511"/>
    <w:rsid w:val="004B2F04"/>
    <w:rsid w:val="004C0B7C"/>
    <w:rsid w:val="004F01D8"/>
    <w:rsid w:val="00504D05"/>
    <w:rsid w:val="00544E98"/>
    <w:rsid w:val="00553AEB"/>
    <w:rsid w:val="005659F4"/>
    <w:rsid w:val="005A314E"/>
    <w:rsid w:val="005B5D67"/>
    <w:rsid w:val="005B74B7"/>
    <w:rsid w:val="005E4A1D"/>
    <w:rsid w:val="005F3B6D"/>
    <w:rsid w:val="005F63C2"/>
    <w:rsid w:val="0062669C"/>
    <w:rsid w:val="006A2C6E"/>
    <w:rsid w:val="006D30E4"/>
    <w:rsid w:val="00702B38"/>
    <w:rsid w:val="007129FB"/>
    <w:rsid w:val="00721388"/>
    <w:rsid w:val="007279B4"/>
    <w:rsid w:val="007310F3"/>
    <w:rsid w:val="007A280C"/>
    <w:rsid w:val="007A37A7"/>
    <w:rsid w:val="007B2491"/>
    <w:rsid w:val="007C6BEE"/>
    <w:rsid w:val="007E247A"/>
    <w:rsid w:val="008208DE"/>
    <w:rsid w:val="008A0742"/>
    <w:rsid w:val="008A45C1"/>
    <w:rsid w:val="008E2576"/>
    <w:rsid w:val="008F51D6"/>
    <w:rsid w:val="009200B8"/>
    <w:rsid w:val="00941FFE"/>
    <w:rsid w:val="00943758"/>
    <w:rsid w:val="009770C5"/>
    <w:rsid w:val="009B48D2"/>
    <w:rsid w:val="009B7CD6"/>
    <w:rsid w:val="009C4129"/>
    <w:rsid w:val="009D2F0C"/>
    <w:rsid w:val="009D4656"/>
    <w:rsid w:val="009D7380"/>
    <w:rsid w:val="009F661E"/>
    <w:rsid w:val="00A13767"/>
    <w:rsid w:val="00A404F4"/>
    <w:rsid w:val="00A71777"/>
    <w:rsid w:val="00A83D1F"/>
    <w:rsid w:val="00A9511A"/>
    <w:rsid w:val="00AA6D6C"/>
    <w:rsid w:val="00AB52FD"/>
    <w:rsid w:val="00AC36BA"/>
    <w:rsid w:val="00B03E14"/>
    <w:rsid w:val="00B04627"/>
    <w:rsid w:val="00B550E1"/>
    <w:rsid w:val="00B8343F"/>
    <w:rsid w:val="00B96CC3"/>
    <w:rsid w:val="00BA070E"/>
    <w:rsid w:val="00BA4A49"/>
    <w:rsid w:val="00BC0A86"/>
    <w:rsid w:val="00BF59A4"/>
    <w:rsid w:val="00C02238"/>
    <w:rsid w:val="00C04CD1"/>
    <w:rsid w:val="00C45D90"/>
    <w:rsid w:val="00C52059"/>
    <w:rsid w:val="00C52B44"/>
    <w:rsid w:val="00C7207D"/>
    <w:rsid w:val="00CA233D"/>
    <w:rsid w:val="00CA662F"/>
    <w:rsid w:val="00CB4614"/>
    <w:rsid w:val="00CB5694"/>
    <w:rsid w:val="00CC3C9A"/>
    <w:rsid w:val="00CF3820"/>
    <w:rsid w:val="00CF39EE"/>
    <w:rsid w:val="00D16C0C"/>
    <w:rsid w:val="00D2584B"/>
    <w:rsid w:val="00D26D56"/>
    <w:rsid w:val="00D32FDC"/>
    <w:rsid w:val="00D574FA"/>
    <w:rsid w:val="00D67245"/>
    <w:rsid w:val="00DA600C"/>
    <w:rsid w:val="00DC623A"/>
    <w:rsid w:val="00DD77BD"/>
    <w:rsid w:val="00DE04C5"/>
    <w:rsid w:val="00E269BD"/>
    <w:rsid w:val="00E36F54"/>
    <w:rsid w:val="00E44303"/>
    <w:rsid w:val="00E46483"/>
    <w:rsid w:val="00E76D1C"/>
    <w:rsid w:val="00E93A0B"/>
    <w:rsid w:val="00EA7655"/>
    <w:rsid w:val="00EB57A1"/>
    <w:rsid w:val="00EC262F"/>
    <w:rsid w:val="00EE04C0"/>
    <w:rsid w:val="00F35B58"/>
    <w:rsid w:val="00F40117"/>
    <w:rsid w:val="00F44425"/>
    <w:rsid w:val="00F67E57"/>
    <w:rsid w:val="00F7147F"/>
    <w:rsid w:val="00F965FC"/>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1"/>
    <w:qFormat/>
    <w:rsid w:val="009C4129"/>
    <w:pPr>
      <w:ind w:left="720"/>
      <w:contextualSpacing/>
    </w:pPr>
  </w:style>
  <w:style w:type="character" w:styleId="Emphasis">
    <w:name w:val="Emphasis"/>
    <w:basedOn w:val="DefaultParagraphFont"/>
    <w:uiPriority w:val="20"/>
    <w:qFormat/>
    <w:rsid w:val="00DA600C"/>
    <w:rPr>
      <w:i/>
      <w:iCs/>
    </w:rPr>
  </w:style>
  <w:style w:type="table" w:styleId="TableGrid">
    <w:name w:val="Table Grid"/>
    <w:basedOn w:val="TableNormal"/>
    <w:qFormat/>
    <w:rsid w:val="005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
    <w:name w:val="Bullet Lists"/>
    <w:basedOn w:val="ListBullet"/>
    <w:qFormat/>
    <w:rsid w:val="008E2576"/>
    <w:pPr>
      <w:ind w:left="720"/>
    </w:pPr>
  </w:style>
  <w:style w:type="paragraph" w:styleId="ListBullet">
    <w:name w:val="List Bullet"/>
    <w:basedOn w:val="Normal"/>
    <w:uiPriority w:val="99"/>
    <w:semiHidden/>
    <w:unhideWhenUsed/>
    <w:rsid w:val="008E2576"/>
    <w:pPr>
      <w:numPr>
        <w:numId w:val="4"/>
      </w:numPr>
      <w:contextualSpacing/>
    </w:pPr>
  </w:style>
  <w:style w:type="character" w:styleId="Hyperlink">
    <w:name w:val="Hyperlink"/>
    <w:basedOn w:val="DefaultParagraphFont"/>
    <w:uiPriority w:val="99"/>
    <w:unhideWhenUsed/>
    <w:rsid w:val="0011254B"/>
    <w:rPr>
      <w:color w:val="0563C1" w:themeColor="hyperlink"/>
      <w:u w:val="single"/>
    </w:rPr>
  </w:style>
  <w:style w:type="character" w:styleId="UnresolvedMention">
    <w:name w:val="Unresolved Mention"/>
    <w:basedOn w:val="DefaultParagraphFont"/>
    <w:uiPriority w:val="99"/>
    <w:semiHidden/>
    <w:unhideWhenUsed/>
    <w:rsid w:val="0011254B"/>
    <w:rPr>
      <w:color w:val="605E5C"/>
      <w:shd w:val="clear" w:color="auto" w:fill="E1DFDD"/>
    </w:rPr>
  </w:style>
  <w:style w:type="character" w:styleId="FollowedHyperlink">
    <w:name w:val="FollowedHyperlink"/>
    <w:basedOn w:val="DefaultParagraphFont"/>
    <w:uiPriority w:val="99"/>
    <w:semiHidden/>
    <w:unhideWhenUsed/>
    <w:rsid w:val="0011254B"/>
    <w:rPr>
      <w:color w:val="954F72" w:themeColor="followedHyperlink"/>
      <w:u w:val="single"/>
    </w:rPr>
  </w:style>
  <w:style w:type="paragraph" w:styleId="BodyText">
    <w:name w:val="Body Text"/>
    <w:basedOn w:val="Normal"/>
    <w:link w:val="BodyTextChar"/>
    <w:uiPriority w:val="1"/>
    <w:qFormat/>
    <w:rsid w:val="00195889"/>
    <w:pPr>
      <w:widowControl w:val="0"/>
      <w:autoSpaceDE w:val="0"/>
      <w:autoSpaceDN w:val="0"/>
      <w:spacing w:before="2"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95889"/>
    <w:rPr>
      <w:rFonts w:ascii="Times New Roman" w:eastAsia="Times New Roman" w:hAnsi="Times New Roman" w:cs="Times New Roman"/>
    </w:rPr>
  </w:style>
  <w:style w:type="paragraph" w:customStyle="1" w:styleId="TableParagraph">
    <w:name w:val="Table Paragraph"/>
    <w:basedOn w:val="Normal"/>
    <w:uiPriority w:val="1"/>
    <w:qFormat/>
    <w:rsid w:val="0017737F"/>
    <w:pPr>
      <w:widowControl w:val="0"/>
      <w:autoSpaceDE w:val="0"/>
      <w:autoSpaceDN w:val="0"/>
      <w:spacing w:before="0" w:after="0"/>
      <w:ind w:left="105"/>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2018-10-09T20:39:00Z</dcterms:created>
  <dcterms:modified xsi:type="dcterms:W3CDTF">2018-11-09T19:21:00Z</dcterms:modified>
</cp:coreProperties>
</file>